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259FA" w:rsidRPr="00D33294" w:rsidTr="000259FA">
        <w:tc>
          <w:tcPr>
            <w:tcW w:w="4644" w:type="dxa"/>
          </w:tcPr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REPUBLIKA HRVATSKA</w:t>
            </w:r>
          </w:p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MINISTARSTVO ZNANOSTI,</w:t>
            </w:r>
          </w:p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OBRAZOVANJA I SPORTA</w:t>
            </w:r>
          </w:p>
          <w:p w:rsidR="000259FA" w:rsidRPr="00D33294" w:rsidRDefault="000259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RKDP:09950</w:t>
            </w:r>
          </w:p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MB: 3328490</w:t>
            </w:r>
          </w:p>
          <w:p w:rsidR="000259FA" w:rsidRPr="00D33294" w:rsidRDefault="000259FA" w:rsidP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ŽR: 2402006-1100109993</w:t>
            </w:r>
          </w:p>
          <w:p w:rsidR="000259FA" w:rsidRPr="00D33294" w:rsidRDefault="000259F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PRORAČUNSKI KORISNIK: OŠ ČAVLE</w:t>
            </w:r>
          </w:p>
        </w:tc>
      </w:tr>
    </w:tbl>
    <w:p w:rsidR="007E37FB" w:rsidRPr="00D33294" w:rsidRDefault="007E37FB">
      <w:pPr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 xml:space="preserve">Čavle </w:t>
      </w:r>
      <w:r w:rsidR="00E65FA2">
        <w:rPr>
          <w:rFonts w:ascii="Times New Roman" w:hAnsi="Times New Roman" w:cs="Times New Roman"/>
          <w:sz w:val="24"/>
        </w:rPr>
        <w:t>31</w:t>
      </w:r>
      <w:r w:rsidRPr="00D33294">
        <w:rPr>
          <w:rFonts w:ascii="Times New Roman" w:hAnsi="Times New Roman" w:cs="Times New Roman"/>
          <w:sz w:val="24"/>
        </w:rPr>
        <w:t xml:space="preserve">. </w:t>
      </w:r>
      <w:r w:rsidR="00351303">
        <w:rPr>
          <w:rFonts w:ascii="Times New Roman" w:hAnsi="Times New Roman" w:cs="Times New Roman"/>
          <w:sz w:val="24"/>
        </w:rPr>
        <w:t>siječnja</w:t>
      </w:r>
      <w:r w:rsidRPr="00D33294">
        <w:rPr>
          <w:rFonts w:ascii="Times New Roman" w:hAnsi="Times New Roman" w:cs="Times New Roman"/>
          <w:sz w:val="24"/>
        </w:rPr>
        <w:t xml:space="preserve"> 201</w:t>
      </w:r>
      <w:r w:rsidR="000F307B">
        <w:rPr>
          <w:rFonts w:ascii="Times New Roman" w:hAnsi="Times New Roman" w:cs="Times New Roman"/>
          <w:sz w:val="24"/>
        </w:rPr>
        <w:t>8</w:t>
      </w:r>
      <w:r w:rsidRPr="00D33294">
        <w:rPr>
          <w:rFonts w:ascii="Times New Roman" w:hAnsi="Times New Roman" w:cs="Times New Roman"/>
          <w:sz w:val="24"/>
        </w:rPr>
        <w:t>.</w:t>
      </w:r>
    </w:p>
    <w:p w:rsidR="006D2809" w:rsidRPr="00D33294" w:rsidRDefault="006D2809">
      <w:pPr>
        <w:rPr>
          <w:rFonts w:ascii="Times New Roman" w:hAnsi="Times New Roman" w:cs="Times New Roman"/>
          <w:sz w:val="24"/>
        </w:rPr>
      </w:pPr>
    </w:p>
    <w:p w:rsidR="00D33294" w:rsidRDefault="007E37FB" w:rsidP="000259FA">
      <w:pPr>
        <w:jc w:val="center"/>
        <w:rPr>
          <w:rFonts w:ascii="Times New Roman" w:hAnsi="Times New Roman" w:cs="Times New Roman"/>
          <w:b/>
          <w:sz w:val="28"/>
        </w:rPr>
      </w:pPr>
      <w:r w:rsidRPr="00D33294">
        <w:rPr>
          <w:rFonts w:ascii="Times New Roman" w:hAnsi="Times New Roman" w:cs="Times New Roman"/>
          <w:b/>
          <w:sz w:val="28"/>
        </w:rPr>
        <w:t>B</w:t>
      </w:r>
      <w:r w:rsidR="00D33294">
        <w:rPr>
          <w:rFonts w:ascii="Times New Roman" w:hAnsi="Times New Roman" w:cs="Times New Roman"/>
          <w:b/>
          <w:sz w:val="28"/>
        </w:rPr>
        <w:t>ILJEŠKE UZ FINANCIJSKA IZVJEŠĆA</w:t>
      </w:r>
    </w:p>
    <w:p w:rsidR="007E37FB" w:rsidRPr="00D33294" w:rsidRDefault="007E37FB" w:rsidP="000259FA">
      <w:pPr>
        <w:jc w:val="center"/>
        <w:rPr>
          <w:rFonts w:ascii="Times New Roman" w:hAnsi="Times New Roman" w:cs="Times New Roman"/>
          <w:b/>
          <w:sz w:val="28"/>
        </w:rPr>
      </w:pPr>
      <w:r w:rsidRPr="00D33294">
        <w:rPr>
          <w:rFonts w:ascii="Times New Roman" w:hAnsi="Times New Roman" w:cs="Times New Roman"/>
          <w:b/>
          <w:sz w:val="28"/>
        </w:rPr>
        <w:t>OD 1. SIJČNJA DO 31. PROSINCA 201</w:t>
      </w:r>
      <w:r w:rsidR="000F307B">
        <w:rPr>
          <w:rFonts w:ascii="Times New Roman" w:hAnsi="Times New Roman" w:cs="Times New Roman"/>
          <w:b/>
          <w:sz w:val="28"/>
        </w:rPr>
        <w:t>7</w:t>
      </w:r>
      <w:r w:rsidRPr="00D33294">
        <w:rPr>
          <w:rFonts w:ascii="Times New Roman" w:hAnsi="Times New Roman" w:cs="Times New Roman"/>
          <w:b/>
          <w:sz w:val="28"/>
        </w:rPr>
        <w:t>. GODINE</w:t>
      </w:r>
    </w:p>
    <w:p w:rsidR="006D2809" w:rsidRPr="00D33294" w:rsidRDefault="006D2809">
      <w:pPr>
        <w:rPr>
          <w:rFonts w:ascii="Times New Roman" w:hAnsi="Times New Roman" w:cs="Times New Roman"/>
          <w:sz w:val="24"/>
        </w:rPr>
      </w:pPr>
    </w:p>
    <w:p w:rsidR="00A2494D" w:rsidRDefault="00A2494D" w:rsidP="00A249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33294">
        <w:rPr>
          <w:rFonts w:ascii="Times New Roman" w:hAnsi="Times New Roman" w:cs="Times New Roman"/>
          <w:b/>
          <w:sz w:val="24"/>
        </w:rPr>
        <w:t>BILJEŠKE UZ IZVJEŠTAJ O PRIHODIMA I RASHODIMA, PRIMICIMA I IZDACIMA</w:t>
      </w:r>
    </w:p>
    <w:p w:rsidR="00A2494D" w:rsidRDefault="00A2494D" w:rsidP="00151328">
      <w:pPr>
        <w:jc w:val="both"/>
        <w:rPr>
          <w:rFonts w:ascii="Times New Roman" w:hAnsi="Times New Roman" w:cs="Times New Roman"/>
          <w:sz w:val="24"/>
        </w:rPr>
      </w:pPr>
      <w:r w:rsidRPr="00A2494D">
        <w:rPr>
          <w:rFonts w:ascii="Times New Roman" w:hAnsi="Times New Roman" w:cs="Times New Roman"/>
          <w:sz w:val="24"/>
        </w:rPr>
        <w:t>Prihodi i rashodi u 201</w:t>
      </w:r>
      <w:r>
        <w:rPr>
          <w:rFonts w:ascii="Times New Roman" w:hAnsi="Times New Roman" w:cs="Times New Roman"/>
          <w:sz w:val="24"/>
        </w:rPr>
        <w:t>7</w:t>
      </w:r>
      <w:r w:rsidRPr="00A2494D">
        <w:rPr>
          <w:rFonts w:ascii="Times New Roman" w:hAnsi="Times New Roman" w:cs="Times New Roman"/>
          <w:sz w:val="24"/>
        </w:rPr>
        <w:t>. godini kretali su se uglavnom u okvirima planiranih sredstava</w:t>
      </w:r>
      <w:r>
        <w:rPr>
          <w:rFonts w:ascii="Times New Roman" w:hAnsi="Times New Roman" w:cs="Times New Roman"/>
          <w:sz w:val="24"/>
        </w:rPr>
        <w:t>.</w:t>
      </w:r>
    </w:p>
    <w:p w:rsidR="00A2494D" w:rsidRDefault="00A2494D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su prihodi od izvanproračunskih korisnika, odnosno tekuće pomoći Hrvatskog zavoda za zapošljavanje za poticajnu mjeru stručnog osposobljavanja bez zasnivanja radnog odnosa u ukupnom iznosu od 32.113,00 kuna. Sredstva su se namjenski utrošila za uplatu doprinosa.</w:t>
      </w:r>
    </w:p>
    <w:p w:rsidR="00151328" w:rsidRDefault="00151328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od Ministarstva znanosti i obrazovanja odnose se na plaće zaposlenika 6.090.432,00 kuna, te su također u cijelosti utrošena za istu namjenu.</w:t>
      </w:r>
    </w:p>
    <w:p w:rsidR="00A2494D" w:rsidRDefault="00A2494D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Tekuće pomoći od JLS – Općine Čavle </w:t>
      </w:r>
      <w:r w:rsidR="007457C1">
        <w:rPr>
          <w:rFonts w:ascii="Times New Roman" w:hAnsi="Times New Roman" w:cs="Times New Roman"/>
          <w:sz w:val="24"/>
        </w:rPr>
        <w:t>iznose 247.284,00 kune te su utrošeni na plaće radnika u programu produženog boravka 223.014,00 kuna i programe poticanja kreativnog rada, prevencije te natjecanja učenika.</w:t>
      </w:r>
    </w:p>
    <w:p w:rsidR="007457C1" w:rsidRDefault="007457C1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Kapitalna pomoć od JLS – Općine Čavle u iznosu od 10.625,00 kuna utrošena je na uređenje učionica i hodnika škole.</w:t>
      </w:r>
    </w:p>
    <w:p w:rsidR="007457C1" w:rsidRDefault="007457C1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Prihodi od kamata na depozite po viđenju u 2017. godini znatno su se smanjila jer </w:t>
      </w:r>
      <w:r w:rsidR="00151328">
        <w:rPr>
          <w:rFonts w:ascii="Times New Roman" w:hAnsi="Times New Roman" w:cs="Times New Roman"/>
          <w:sz w:val="24"/>
        </w:rPr>
        <w:t>je tijekom 2016. godine saldo žiro računa škole smanjen zbog dospjelih uplata za doprinose za stručno osposobljavanje bez zasnivanja radnog odnosa (9 pripravnika), te je sukladno manjem saldu žiro računa i kamata manja.</w:t>
      </w:r>
    </w:p>
    <w:p w:rsidR="00151328" w:rsidRDefault="00151328" w:rsidP="001513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nespomenuti prihodi su prihodi za posebne namjene te je u 2017. godini izmijenjena evidencije prihoda za plaće radnika u programu produženog boravka te je zbog toga prihod manji nego protekle godine.</w:t>
      </w:r>
    </w:p>
    <w:p w:rsidR="002C3F7D" w:rsidRDefault="00151328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za posebne namjene obuhvaćaju prihode za školsku marendu</w:t>
      </w:r>
      <w:r w:rsidR="002C3F7D">
        <w:rPr>
          <w:rFonts w:ascii="Times New Roman" w:hAnsi="Times New Roman" w:cs="Times New Roman"/>
          <w:sz w:val="24"/>
        </w:rPr>
        <w:t xml:space="preserve"> 345.819,00 kuna</w:t>
      </w:r>
      <w:r>
        <w:rPr>
          <w:rFonts w:ascii="Times New Roman" w:hAnsi="Times New Roman" w:cs="Times New Roman"/>
          <w:sz w:val="24"/>
        </w:rPr>
        <w:t>, program produženog boravka</w:t>
      </w:r>
      <w:r w:rsidR="002C3F7D">
        <w:rPr>
          <w:rFonts w:ascii="Times New Roman" w:hAnsi="Times New Roman" w:cs="Times New Roman"/>
          <w:sz w:val="24"/>
        </w:rPr>
        <w:t xml:space="preserve"> 169.835,00 kuna te sufinanciranje participacije i sl. 56.395,00 kuna. Isto tako ove je godine ostvaren i prihod od osiguranja za pokriće štete u iznosu od 11.438,00 kuna. </w:t>
      </w:r>
    </w:p>
    <w:p w:rsidR="00151328" w:rsidRDefault="002C3F7D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Donacije su ostvarene manje od planiranog iznosa te u 2017. godini iznose 4.995,00 kuna – računalna oprema.</w:t>
      </w:r>
    </w:p>
    <w:p w:rsidR="002C3F7D" w:rsidRPr="00A2494D" w:rsidRDefault="002C3F7D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 ostvaren od obročne otplate prodaje stanova iznosi 2.831,00 kunu. Isti nije utrošen u 2017. godini te se prenosi kao višak u 2018. godinu.</w:t>
      </w:r>
    </w:p>
    <w:p w:rsidR="00A2494D" w:rsidRDefault="00A2494D" w:rsidP="0071221A">
      <w:pPr>
        <w:jc w:val="both"/>
        <w:rPr>
          <w:rFonts w:ascii="Times New Roman" w:hAnsi="Times New Roman" w:cs="Times New Roman"/>
          <w:sz w:val="24"/>
        </w:rPr>
      </w:pPr>
      <w:r w:rsidRPr="00A2494D">
        <w:rPr>
          <w:rFonts w:ascii="Times New Roman" w:hAnsi="Times New Roman" w:cs="Times New Roman"/>
          <w:sz w:val="24"/>
        </w:rPr>
        <w:lastRenderedPageBreak/>
        <w:t>Višak prihoda iz 201</w:t>
      </w:r>
      <w:r>
        <w:rPr>
          <w:rFonts w:ascii="Times New Roman" w:hAnsi="Times New Roman" w:cs="Times New Roman"/>
          <w:sz w:val="24"/>
        </w:rPr>
        <w:t>6</w:t>
      </w:r>
      <w:r w:rsidRPr="00A2494D">
        <w:rPr>
          <w:rFonts w:ascii="Times New Roman" w:hAnsi="Times New Roman" w:cs="Times New Roman"/>
          <w:sz w:val="24"/>
        </w:rPr>
        <w:t>. godine utrošen je namjenski u 201</w:t>
      </w:r>
      <w:r>
        <w:rPr>
          <w:rFonts w:ascii="Times New Roman" w:hAnsi="Times New Roman" w:cs="Times New Roman"/>
          <w:sz w:val="24"/>
        </w:rPr>
        <w:t>7</w:t>
      </w:r>
      <w:r w:rsidRPr="00A2494D">
        <w:rPr>
          <w:rFonts w:ascii="Times New Roman" w:hAnsi="Times New Roman" w:cs="Times New Roman"/>
          <w:sz w:val="24"/>
        </w:rPr>
        <w:t>. godini po pozicijama po kojima je i ostvaren. Preostali neutrošeni iznos utrošiti će se tijekom 201</w:t>
      </w:r>
      <w:r>
        <w:rPr>
          <w:rFonts w:ascii="Times New Roman" w:hAnsi="Times New Roman" w:cs="Times New Roman"/>
          <w:sz w:val="24"/>
        </w:rPr>
        <w:t>8</w:t>
      </w:r>
      <w:r w:rsidRPr="00A2494D">
        <w:rPr>
          <w:rFonts w:ascii="Times New Roman" w:hAnsi="Times New Roman" w:cs="Times New Roman"/>
          <w:sz w:val="24"/>
        </w:rPr>
        <w:t>. godine po pozicijama kojima je i ostvaren.</w:t>
      </w:r>
    </w:p>
    <w:p w:rsidR="007E37FB" w:rsidRPr="00D33294" w:rsidRDefault="007E37FB" w:rsidP="007E37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33294">
        <w:rPr>
          <w:rFonts w:ascii="Times New Roman" w:hAnsi="Times New Roman" w:cs="Times New Roman"/>
          <w:b/>
          <w:sz w:val="24"/>
        </w:rPr>
        <w:t>BILJEŠKE UZ BILANCU</w:t>
      </w:r>
    </w:p>
    <w:p w:rsidR="002C3F7D" w:rsidRDefault="002C3F7D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2016. godine izvršene su pripremne radnje za početak dogradnje Osnovne škole Čavle pa je tako izvršen i prijenos vlasništva na Općinu Čavle te je tijekom 2017. godine napravljeno usklađenje sa Općinom Čavle vezano uz evidentiranje nefinancijske imovine.</w:t>
      </w:r>
      <w:r w:rsidR="00712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Općina </w:t>
      </w:r>
      <w:r w:rsidR="0071221A">
        <w:rPr>
          <w:rFonts w:ascii="Times New Roman" w:hAnsi="Times New Roman" w:cs="Times New Roman"/>
          <w:sz w:val="24"/>
        </w:rPr>
        <w:t>Čavle je sada vlasnik zemljišta i zgrada te je sada ispravno prikazano stanje proizvedene dugotrajne imovine u iznosu od 585.145,00 kuna i obuhvaća postrojenja i opremu u iznosu od 284.027,00 kuna te knjige u školskoj knjižnici ukupne vrijednosti 281.118,00 kuna.</w:t>
      </w:r>
    </w:p>
    <w:p w:rsidR="004D3C0B" w:rsidRDefault="004D3C0B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Financijska imovina AOP 067 novac na žiro računu veći je zbog uplate Hrvatskog zavoda za zapošljavanje mjera zapošljavanja bez zasnivanja radnog odnosa u prosincu 2017. godine za još dvije pripravnice.</w:t>
      </w:r>
    </w:p>
    <w:p w:rsidR="004D3C0B" w:rsidRDefault="004D3C0B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80 veći je zbog potraživanja za bolovanja, jedno dugotrajno bolovanje po osnovi ozljede na radu.</w:t>
      </w:r>
    </w:p>
    <w:p w:rsidR="004D3C0B" w:rsidRDefault="004D3C0B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143 od ove godine provođenje Školske sheme (voće i mlijeko u školama) umjesto dobavljača, škole sada same potražuju novac od Agencije za plaćanje u poljoprivredi.</w:t>
      </w:r>
    </w:p>
    <w:p w:rsidR="004D3C0B" w:rsidRDefault="004D3C0B" w:rsidP="007122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Obveze obuhvaćaju plaće za prosinac 2017. godine koje su isplaćene u siječnju 2018. godine, kao i obveze za materijalne rashode koji su okviru planiranih i također su podmireni tijekom siječnja 2018. godine.</w:t>
      </w:r>
    </w:p>
    <w:p w:rsidR="003E3232" w:rsidRPr="00D33294" w:rsidRDefault="003E3232" w:rsidP="003E3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33294">
        <w:rPr>
          <w:rFonts w:ascii="Times New Roman" w:hAnsi="Times New Roman" w:cs="Times New Roman"/>
          <w:b/>
          <w:sz w:val="24"/>
        </w:rPr>
        <w:t>BILJEŠKE UZ OBRAZAC OBVEZE</w:t>
      </w:r>
    </w:p>
    <w:p w:rsidR="003E3232" w:rsidRPr="001347AE" w:rsidRDefault="003E3232" w:rsidP="001347AE">
      <w:pPr>
        <w:rPr>
          <w:rFonts w:ascii="Times New Roman" w:hAnsi="Times New Roman" w:cs="Times New Roman"/>
          <w:sz w:val="24"/>
        </w:rPr>
      </w:pPr>
      <w:r w:rsidRPr="001347AE">
        <w:rPr>
          <w:rFonts w:ascii="Times New Roman" w:hAnsi="Times New Roman" w:cs="Times New Roman"/>
          <w:sz w:val="24"/>
        </w:rPr>
        <w:t>Korisnik je tijekom 201</w:t>
      </w:r>
      <w:r w:rsidR="001347AE" w:rsidRPr="001347AE">
        <w:rPr>
          <w:rFonts w:ascii="Times New Roman" w:hAnsi="Times New Roman" w:cs="Times New Roman"/>
          <w:sz w:val="24"/>
        </w:rPr>
        <w:t>7</w:t>
      </w:r>
      <w:r w:rsidRPr="001347AE">
        <w:rPr>
          <w:rFonts w:ascii="Times New Roman" w:hAnsi="Times New Roman" w:cs="Times New Roman"/>
          <w:sz w:val="24"/>
        </w:rPr>
        <w:t xml:space="preserve">. </w:t>
      </w:r>
      <w:r w:rsidR="00D33294" w:rsidRPr="001347AE">
        <w:rPr>
          <w:rFonts w:ascii="Times New Roman" w:hAnsi="Times New Roman" w:cs="Times New Roman"/>
          <w:sz w:val="24"/>
        </w:rPr>
        <w:t>g</w:t>
      </w:r>
      <w:r w:rsidRPr="001347AE">
        <w:rPr>
          <w:rFonts w:ascii="Times New Roman" w:hAnsi="Times New Roman" w:cs="Times New Roman"/>
          <w:sz w:val="24"/>
        </w:rPr>
        <w:t xml:space="preserve">odine redovno podmirivao svoje obveze. Obveze iskazane 31. </w:t>
      </w:r>
      <w:r w:rsidR="00D33294" w:rsidRPr="001347AE">
        <w:rPr>
          <w:rFonts w:ascii="Times New Roman" w:hAnsi="Times New Roman" w:cs="Times New Roman"/>
          <w:sz w:val="24"/>
        </w:rPr>
        <w:t>p</w:t>
      </w:r>
      <w:r w:rsidRPr="001347AE">
        <w:rPr>
          <w:rFonts w:ascii="Times New Roman" w:hAnsi="Times New Roman" w:cs="Times New Roman"/>
          <w:sz w:val="24"/>
        </w:rPr>
        <w:t>rosinca 201</w:t>
      </w:r>
      <w:r w:rsidR="001347AE" w:rsidRPr="001347AE">
        <w:rPr>
          <w:rFonts w:ascii="Times New Roman" w:hAnsi="Times New Roman" w:cs="Times New Roman"/>
          <w:sz w:val="24"/>
        </w:rPr>
        <w:t>7</w:t>
      </w:r>
      <w:r w:rsidRPr="001347AE">
        <w:rPr>
          <w:rFonts w:ascii="Times New Roman" w:hAnsi="Times New Roman" w:cs="Times New Roman"/>
          <w:sz w:val="24"/>
        </w:rPr>
        <w:t xml:space="preserve">. </w:t>
      </w:r>
      <w:r w:rsidR="00D33294" w:rsidRPr="001347AE">
        <w:rPr>
          <w:rFonts w:ascii="Times New Roman" w:hAnsi="Times New Roman" w:cs="Times New Roman"/>
          <w:sz w:val="24"/>
        </w:rPr>
        <w:t>g</w:t>
      </w:r>
      <w:r w:rsidRPr="001347AE">
        <w:rPr>
          <w:rFonts w:ascii="Times New Roman" w:hAnsi="Times New Roman" w:cs="Times New Roman"/>
          <w:sz w:val="24"/>
        </w:rPr>
        <w:t>odine plaćene</w:t>
      </w:r>
      <w:r w:rsidR="001347AE">
        <w:rPr>
          <w:rFonts w:ascii="Times New Roman" w:hAnsi="Times New Roman" w:cs="Times New Roman"/>
          <w:sz w:val="24"/>
        </w:rPr>
        <w:t xml:space="preserve"> su</w:t>
      </w:r>
      <w:r w:rsidRPr="001347AE">
        <w:rPr>
          <w:rFonts w:ascii="Times New Roman" w:hAnsi="Times New Roman" w:cs="Times New Roman"/>
          <w:sz w:val="24"/>
        </w:rPr>
        <w:t xml:space="preserve"> u siječnju 201</w:t>
      </w:r>
      <w:r w:rsidR="001347AE" w:rsidRPr="001347AE">
        <w:rPr>
          <w:rFonts w:ascii="Times New Roman" w:hAnsi="Times New Roman" w:cs="Times New Roman"/>
          <w:sz w:val="24"/>
        </w:rPr>
        <w:t>8</w:t>
      </w:r>
      <w:r w:rsidRPr="001347AE">
        <w:rPr>
          <w:rFonts w:ascii="Times New Roman" w:hAnsi="Times New Roman" w:cs="Times New Roman"/>
          <w:sz w:val="24"/>
        </w:rPr>
        <w:t xml:space="preserve">. </w:t>
      </w:r>
      <w:r w:rsidR="00D33294" w:rsidRPr="001347AE">
        <w:rPr>
          <w:rFonts w:ascii="Times New Roman" w:hAnsi="Times New Roman" w:cs="Times New Roman"/>
          <w:sz w:val="24"/>
        </w:rPr>
        <w:t>g</w:t>
      </w:r>
      <w:r w:rsidRPr="001347AE">
        <w:rPr>
          <w:rFonts w:ascii="Times New Roman" w:hAnsi="Times New Roman" w:cs="Times New Roman"/>
          <w:sz w:val="24"/>
        </w:rPr>
        <w:t>odine.</w:t>
      </w:r>
      <w:bookmarkStart w:id="0" w:name="_GoBack"/>
      <w:bookmarkEnd w:id="0"/>
    </w:p>
    <w:p w:rsidR="003E3232" w:rsidRPr="00D33294" w:rsidRDefault="003E3232" w:rsidP="003E3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33294">
        <w:rPr>
          <w:rFonts w:ascii="Times New Roman" w:hAnsi="Times New Roman" w:cs="Times New Roman"/>
          <w:b/>
          <w:sz w:val="24"/>
        </w:rPr>
        <w:t>BILJEŠKE UZ OBRAZAC VRIO</w:t>
      </w:r>
    </w:p>
    <w:p w:rsidR="003E3232" w:rsidRPr="001347AE" w:rsidRDefault="001347AE" w:rsidP="001347AE">
      <w:pPr>
        <w:rPr>
          <w:rFonts w:ascii="Times New Roman" w:hAnsi="Times New Roman" w:cs="Times New Roman"/>
          <w:sz w:val="24"/>
        </w:rPr>
      </w:pPr>
      <w:r w:rsidRPr="001347AE">
        <w:rPr>
          <w:rFonts w:ascii="Times New Roman" w:hAnsi="Times New Roman" w:cs="Times New Roman"/>
          <w:sz w:val="24"/>
        </w:rPr>
        <w:t>Tijekom 2017. godine nije bilo promjena na kontu 9151</w:t>
      </w:r>
      <w:r w:rsidR="003E3232" w:rsidRPr="001347AE">
        <w:rPr>
          <w:rFonts w:ascii="Times New Roman" w:hAnsi="Times New Roman" w:cs="Times New Roman"/>
          <w:sz w:val="24"/>
        </w:rPr>
        <w:t>.</w:t>
      </w:r>
    </w:p>
    <w:p w:rsidR="001347AE" w:rsidRPr="00D33294" w:rsidRDefault="001347AE" w:rsidP="001347AE">
      <w:pPr>
        <w:pStyle w:val="Odlomakpopisa"/>
        <w:rPr>
          <w:rFonts w:ascii="Times New Roman" w:hAnsi="Times New Roman" w:cs="Times New Roman"/>
          <w:sz w:val="24"/>
        </w:rPr>
      </w:pPr>
    </w:p>
    <w:p w:rsidR="003E3232" w:rsidRPr="00D33294" w:rsidRDefault="003E3232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OSOBA ZA KONTAKT:</w:t>
      </w:r>
    </w:p>
    <w:p w:rsidR="003E3232" w:rsidRPr="00D33294" w:rsidRDefault="003E3232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_____________________</w:t>
      </w:r>
    </w:p>
    <w:p w:rsidR="003E3232" w:rsidRPr="00D33294" w:rsidRDefault="003E3232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Đurđica Franko Čargonja</w:t>
      </w:r>
    </w:p>
    <w:p w:rsidR="003E3232" w:rsidRPr="00D33294" w:rsidRDefault="003E3232" w:rsidP="00D33294">
      <w:pPr>
        <w:ind w:left="3540"/>
        <w:jc w:val="right"/>
        <w:rPr>
          <w:rFonts w:ascii="Times New Roman" w:hAnsi="Times New Roman" w:cs="Times New Roman"/>
          <w:sz w:val="24"/>
        </w:rPr>
      </w:pPr>
    </w:p>
    <w:p w:rsidR="003E3232" w:rsidRPr="00D33294" w:rsidRDefault="00D33294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ZAKONSKI PREDSTAVNIK:</w:t>
      </w:r>
    </w:p>
    <w:p w:rsidR="00D33294" w:rsidRPr="00D33294" w:rsidRDefault="00D33294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________________________</w:t>
      </w:r>
    </w:p>
    <w:p w:rsidR="00D33294" w:rsidRPr="00D33294" w:rsidRDefault="00D33294" w:rsidP="00D33294">
      <w:pPr>
        <w:ind w:left="3540"/>
        <w:jc w:val="right"/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>Tanja Stanković</w:t>
      </w:r>
    </w:p>
    <w:sectPr w:rsidR="00D33294" w:rsidRPr="00D33294" w:rsidSect="001347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A9A"/>
    <w:multiLevelType w:val="hybridMultilevel"/>
    <w:tmpl w:val="790C60AA"/>
    <w:lvl w:ilvl="0" w:tplc="6F68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E6C"/>
    <w:multiLevelType w:val="hybridMultilevel"/>
    <w:tmpl w:val="9F0636F8"/>
    <w:lvl w:ilvl="0" w:tplc="35A41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B"/>
    <w:rsid w:val="000259FA"/>
    <w:rsid w:val="000C69C4"/>
    <w:rsid w:val="000F307B"/>
    <w:rsid w:val="001347AE"/>
    <w:rsid w:val="00151328"/>
    <w:rsid w:val="002C3F7D"/>
    <w:rsid w:val="00342D11"/>
    <w:rsid w:val="00351303"/>
    <w:rsid w:val="003821CB"/>
    <w:rsid w:val="003E3232"/>
    <w:rsid w:val="004D3C0B"/>
    <w:rsid w:val="0052591C"/>
    <w:rsid w:val="00670DBD"/>
    <w:rsid w:val="006D2809"/>
    <w:rsid w:val="0071221A"/>
    <w:rsid w:val="007457C1"/>
    <w:rsid w:val="007E37FB"/>
    <w:rsid w:val="008B552D"/>
    <w:rsid w:val="00A2494D"/>
    <w:rsid w:val="00BC0A09"/>
    <w:rsid w:val="00C97CD0"/>
    <w:rsid w:val="00D10E54"/>
    <w:rsid w:val="00D33294"/>
    <w:rsid w:val="00D82262"/>
    <w:rsid w:val="00E65FA2"/>
    <w:rsid w:val="00E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7DD5-1A71-43A0-ABF2-5984E4C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7FB"/>
    <w:pPr>
      <w:ind w:left="720"/>
      <w:contextualSpacing/>
    </w:pPr>
  </w:style>
  <w:style w:type="table" w:styleId="Reetkatablice">
    <w:name w:val="Table Grid"/>
    <w:basedOn w:val="Obinatablica"/>
    <w:uiPriority w:val="59"/>
    <w:rsid w:val="000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Đurđica Franko Čargonja</cp:lastModifiedBy>
  <cp:revision>3</cp:revision>
  <dcterms:created xsi:type="dcterms:W3CDTF">2018-01-31T07:46:00Z</dcterms:created>
  <dcterms:modified xsi:type="dcterms:W3CDTF">2018-01-31T09:00:00Z</dcterms:modified>
</cp:coreProperties>
</file>